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0ED" w:rsidRDefault="001550ED"/>
    <w:p w:rsidR="00834F23" w:rsidRPr="009E08C4" w:rsidRDefault="00834F23" w:rsidP="00834F23">
      <w:pPr>
        <w:autoSpaceDE w:val="0"/>
        <w:autoSpaceDN w:val="0"/>
        <w:adjustRightInd w:val="0"/>
        <w:spacing w:after="0" w:line="48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9E08C4">
        <w:rPr>
          <w:rFonts w:ascii="Arial" w:hAnsi="Arial" w:cs="Arial"/>
          <w:b/>
          <w:bCs/>
          <w:sz w:val="26"/>
          <w:szCs w:val="26"/>
        </w:rPr>
        <w:t>RESOLUCIÓN N° 2 DE COMISIÓN DIRECTIVA</w:t>
      </w:r>
    </w:p>
    <w:p w:rsidR="00834F23" w:rsidRDefault="00834F23" w:rsidP="0083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9E08C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OBLIGATORIEDAD DE ATENDER POR TODAS LAS OBRAS SOCIALES, MUTUALES Y PREPAGAS</w:t>
      </w:r>
      <w:r w:rsidR="00DE67B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Y OTRAS ENTIDADES</w:t>
      </w:r>
      <w:bookmarkStart w:id="0" w:name="_GoBack"/>
      <w:bookmarkEnd w:id="0"/>
      <w:r w:rsidRPr="009E08C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QUE MANTIENEN CONVENIO CON AFALP.</w:t>
      </w:r>
    </w:p>
    <w:p w:rsidR="00834F23" w:rsidRDefault="00834F23" w:rsidP="0083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834F23" w:rsidRPr="009E08C4" w:rsidRDefault="00834F23" w:rsidP="0083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834F23" w:rsidRPr="009E08C4" w:rsidRDefault="00834F23" w:rsidP="0083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834F23" w:rsidRDefault="00DE67B7" w:rsidP="00834F2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sz w:val="26"/>
          <w:szCs w:val="26"/>
          <w:shd w:val="clear" w:color="auto" w:fill="FFFFFF"/>
        </w:rPr>
        <w:t>Articulo Primero: Los profesionales de la fonoaudiología asociados a A.F.A.L.P (Asociación de Foniatría, Audiología y Logopedia Platense) deberán prestar atención profesional a todos los pacientes pertenecientes a las Obras Sociales, Mutualidades, Entidades de pre-pago Medico, Aseguradoras de Riesgos de Trabajo u otras Entidades Publicas o Privadas que así lo requieran y se encuentren conveniadas con la Asociación. -</w:t>
      </w:r>
    </w:p>
    <w:p w:rsidR="00DE67B7" w:rsidRDefault="00DE67B7" w:rsidP="00834F2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E67B7" w:rsidRDefault="00DE67B7" w:rsidP="00834F2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Articulo Segundo: La obligación de atención establecida en la presente resolución, solo podrá ser dejada de lado, a solicitud fundada por la profesional y mediante resolución de Comisión Directiva. -</w:t>
      </w:r>
    </w:p>
    <w:p w:rsidR="00DE67B7" w:rsidRDefault="00DE67B7" w:rsidP="00834F2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E67B7" w:rsidRPr="009E08C4" w:rsidRDefault="00DE67B7" w:rsidP="00834F2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Articulo Tercero. El Comité Ejecutivo de la Asociación, arbitrará los medios necesarios para la toma de conocimiento por parte de todos los asociados y deberá realizar la más amplia difusión de la presente Resolución de Comisión Directiva. -</w:t>
      </w:r>
    </w:p>
    <w:p w:rsidR="00834F23" w:rsidRPr="009E08C4" w:rsidRDefault="00834F23" w:rsidP="00834F23">
      <w:pPr>
        <w:rPr>
          <w:rFonts w:ascii="Arial" w:hAnsi="Arial" w:cs="Arial"/>
          <w:sz w:val="26"/>
          <w:szCs w:val="26"/>
        </w:rPr>
      </w:pPr>
    </w:p>
    <w:p w:rsidR="001550ED" w:rsidRDefault="001550ED"/>
    <w:sectPr w:rsidR="001550ED" w:rsidSect="00DA1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BF0"/>
    <w:rsid w:val="000937D6"/>
    <w:rsid w:val="001550ED"/>
    <w:rsid w:val="00620BF0"/>
    <w:rsid w:val="00834F23"/>
    <w:rsid w:val="0097227B"/>
    <w:rsid w:val="00DA18F2"/>
    <w:rsid w:val="00D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E4F44"/>
  <w15:docId w15:val="{F5993E0B-57D2-4435-9808-8F80AB2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8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7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0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5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63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Prfesidencia</dc:creator>
  <cp:lastModifiedBy>Luis</cp:lastModifiedBy>
  <cp:revision>5</cp:revision>
  <cp:lastPrinted>2018-07-02T15:10:00Z</cp:lastPrinted>
  <dcterms:created xsi:type="dcterms:W3CDTF">2018-07-02T14:13:00Z</dcterms:created>
  <dcterms:modified xsi:type="dcterms:W3CDTF">2018-07-22T16:13:00Z</dcterms:modified>
</cp:coreProperties>
</file>